
<file path=[Content_Types].xml><?xml version="1.0" encoding="utf-8"?>
<Types xmlns="http://schemas.openxmlformats.org/package/2006/content-types">
  <Default Extension="png" ContentType="image/png"/>
  <Default Extension="bmp" ContentType="image/bmp"/>
  <Default Extension="pdf" ContentType="application/pdf"/>
  <Default Extension="rels" ContentType="application/vnd.openxmlformats-package.relationships+xml"/>
  <Default Extension="jpeg" ContentType="image/jpg"/>
  <Default Extension="mov" ContentType="application/movie"/>
  <Default Extension="xml" ContentType="application/xml"/>
  <Default Extension="gif" ContentType="image/gif"/>
  <Default Extension="tif" ContentType="image/tif"/>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officeDocument" Target="word/document.xml"/><Relationship Id="rId2" Type="http://schemas.openxmlformats.org/officeDocument/2006/relationships/extended-properties" Target="docProps/app.xml"/><Relationship Id="rId1"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bidi w:val="0"/>
        <w:ind w:left="0" w:right="0" w:firstLine="0"/>
        <w:jc w:val="left"/>
        <w:rPr>
          <w:rFonts w:ascii="Cambria" w:cs="Cambria" w:hAnsi="Cambria" w:eastAsia="Cambria"/>
          <w:b w:val="1"/>
          <w:bCs w:val="1"/>
          <w:sz w:val="24"/>
          <w:szCs w:val="24"/>
          <w:u w:color="000000"/>
          <w:rtl w:val="0"/>
        </w:rPr>
      </w:pPr>
      <w:r>
        <w:rPr>
          <w:rFonts w:ascii="Cambria" w:cs="Cambria" w:hAnsi="Cambria" w:eastAsia="Cambria"/>
          <w:b w:val="1"/>
          <w:bCs w:val="1"/>
          <w:sz w:val="24"/>
          <w:szCs w:val="24"/>
          <w:u w:color="000000"/>
          <w:rtl w:val="0"/>
          <w:lang w:val="en-US"/>
        </w:rPr>
        <w:t>Summary of select, peer reviewed published research on age related macular degeneration:</w:t>
      </w:r>
    </w:p>
    <w:p>
      <w:pPr>
        <w:pStyle w:val="Body"/>
        <w:bidi w:val="0"/>
        <w:ind w:left="0" w:right="0" w:firstLine="0"/>
        <w:jc w:val="left"/>
        <w:rPr>
          <w:rFonts w:ascii="Cambria" w:cs="Cambria" w:hAnsi="Cambria" w:eastAsia="Cambria"/>
          <w:b w:val="1"/>
          <w:bCs w:val="1"/>
          <w:sz w:val="24"/>
          <w:szCs w:val="24"/>
          <w:u w:color="000000"/>
          <w:rtl w:val="0"/>
        </w:rPr>
      </w:pPr>
    </w:p>
    <w:p>
      <w:pPr>
        <w:pStyle w:val="Body"/>
        <w:bidi w:val="0"/>
        <w:ind w:left="0" w:right="0" w:firstLine="0"/>
        <w:jc w:val="left"/>
        <w:rPr>
          <w:rFonts w:ascii="Cambria" w:cs="Cambria" w:hAnsi="Cambria" w:eastAsia="Cambria"/>
          <w:sz w:val="20"/>
          <w:szCs w:val="20"/>
          <w:u w:color="000000"/>
          <w:rtl w:val="0"/>
        </w:rPr>
      </w:pPr>
      <w:r>
        <w:rPr>
          <w:rFonts w:ascii="Cambria" w:cs="Cambria" w:hAnsi="Cambria" w:eastAsia="Cambria"/>
          <w:color w:val="000000"/>
          <w:sz w:val="24"/>
          <w:szCs w:val="24"/>
          <w:u w:color="000000"/>
          <w:rtl w:val="0"/>
          <w:lang w:val="en-US"/>
        </w:rPr>
        <w:t xml:space="preserve">Age-related macular degeneration (AMD) is a common eye disease that is the leading cause of vision loss for people over 50 years of age.  There are two versions of AMD, dry and wet.  Usually a person has </w:t>
      </w:r>
      <w:r>
        <w:rPr>
          <w:rFonts w:ascii="Cambria" w:cs="Cambria" w:hAnsi="Cambria" w:eastAsia="Cambria"/>
          <w:color w:val="000000"/>
          <w:sz w:val="24"/>
          <w:szCs w:val="24"/>
          <w:u w:color="000000"/>
          <w:rtl w:val="0"/>
        </w:rPr>
        <w:t>“</w:t>
      </w:r>
      <w:r>
        <w:rPr>
          <w:rFonts w:ascii="Cambria" w:cs="Cambria" w:hAnsi="Cambria" w:eastAsia="Cambria"/>
          <w:color w:val="000000"/>
          <w:sz w:val="24"/>
          <w:szCs w:val="24"/>
          <w:u w:color="000000"/>
          <w:rtl w:val="0"/>
          <w:lang w:val="en-US"/>
        </w:rPr>
        <w:t>Dry</w:t>
      </w:r>
      <w:r>
        <w:rPr>
          <w:rFonts w:ascii="Cambria" w:cs="Cambria" w:hAnsi="Cambria" w:eastAsia="Cambria"/>
          <w:color w:val="000000"/>
          <w:sz w:val="24"/>
          <w:szCs w:val="24"/>
          <w:u w:color="000000"/>
          <w:rtl w:val="0"/>
        </w:rPr>
        <w:t xml:space="preserve">” </w:t>
      </w:r>
      <w:r>
        <w:rPr>
          <w:rFonts w:ascii="Cambria" w:cs="Cambria" w:hAnsi="Cambria" w:eastAsia="Cambria"/>
          <w:color w:val="000000"/>
          <w:sz w:val="24"/>
          <w:szCs w:val="24"/>
          <w:u w:color="000000"/>
          <w:rtl w:val="0"/>
          <w:lang w:val="en-US"/>
        </w:rPr>
        <w:t xml:space="preserve">AMD but approximately 10% of people can </w:t>
      </w:r>
      <w:r>
        <w:rPr>
          <w:rFonts w:ascii="Georgia" w:cs="Cambria" w:hAnsi="Georgia" w:eastAsia="Cambria"/>
          <w:color w:val="1a1a1a"/>
          <w:sz w:val="24"/>
          <w:szCs w:val="24"/>
          <w:u w:color="1a1a1a"/>
          <w:shd w:val="clear" w:color="auto" w:fill="ffffff"/>
          <w:rtl w:val="0"/>
          <w:lang w:val="en-US"/>
        </w:rPr>
        <w:t xml:space="preserve">progress towards the </w:t>
      </w:r>
      <w:r>
        <w:rPr>
          <w:rFonts w:ascii="Georgia" w:cs="Cambria" w:hAnsi="Georgia" w:eastAsia="Cambria" w:hint="default"/>
          <w:color w:val="1a1a1a"/>
          <w:sz w:val="24"/>
          <w:szCs w:val="24"/>
          <w:u w:color="1a1a1a"/>
          <w:shd w:val="clear" w:color="auto" w:fill="ffffff"/>
          <w:rtl w:val="0"/>
          <w:lang w:val="en-US"/>
        </w:rPr>
        <w:t>“</w:t>
      </w:r>
      <w:r>
        <w:rPr>
          <w:rFonts w:ascii="Georgia" w:cs="Cambria" w:hAnsi="Georgia" w:eastAsia="Cambria"/>
          <w:color w:val="1a1a1a"/>
          <w:sz w:val="24"/>
          <w:szCs w:val="24"/>
          <w:u w:color="1a1a1a"/>
          <w:shd w:val="clear" w:color="auto" w:fill="ffffff"/>
          <w:rtl w:val="0"/>
          <w:lang w:val="de-DE"/>
        </w:rPr>
        <w:t>Wet</w:t>
      </w:r>
      <w:r>
        <w:rPr>
          <w:rFonts w:ascii="Georgia" w:cs="Cambria" w:hAnsi="Georgia" w:eastAsia="Cambria" w:hint="default"/>
          <w:color w:val="1a1a1a"/>
          <w:sz w:val="24"/>
          <w:szCs w:val="24"/>
          <w:u w:color="1a1a1a"/>
          <w:shd w:val="clear" w:color="auto" w:fill="ffffff"/>
          <w:rtl w:val="0"/>
          <w:lang w:val="en-US"/>
        </w:rPr>
        <w:t xml:space="preserve">” </w:t>
      </w:r>
      <w:r>
        <w:rPr>
          <w:rFonts w:ascii="Georgia" w:cs="Cambria" w:hAnsi="Georgia" w:eastAsia="Cambria"/>
          <w:color w:val="1a1a1a"/>
          <w:sz w:val="24"/>
          <w:szCs w:val="24"/>
          <w:u w:color="1a1a1a"/>
          <w:shd w:val="clear" w:color="auto" w:fill="ffffff"/>
          <w:rtl w:val="0"/>
          <w:lang w:val="it-IT"/>
        </w:rPr>
        <w:t>version.</w:t>
      </w:r>
      <w:r>
        <w:rPr>
          <w:rFonts w:ascii="Cambria" w:cs="Cambria" w:hAnsi="Cambria" w:eastAsia="Cambria"/>
          <w:sz w:val="20"/>
          <w:szCs w:val="20"/>
          <w:u w:color="000000"/>
          <w:rtl w:val="0"/>
        </w:rPr>
        <w:t xml:space="preserve"> </w:t>
      </w:r>
      <w:r>
        <w:rPr>
          <w:rFonts w:ascii="Cambria" w:cs="Cambria" w:hAnsi="Cambria" w:eastAsia="Cambria"/>
          <w:color w:val="000000"/>
          <w:sz w:val="24"/>
          <w:szCs w:val="24"/>
          <w:u w:color="000000"/>
          <w:rtl w:val="0"/>
          <w:lang w:val="en-US"/>
        </w:rPr>
        <w:t>AMD blurs the sharp, central vision needed for tasks like reading or driving.</w:t>
      </w:r>
      <w:r>
        <w:rPr>
          <w:rFonts w:ascii="Cambria" w:cs="Cambria" w:hAnsi="Cambria" w:eastAsia="Cambria"/>
          <w:color w:val="000000"/>
          <w:sz w:val="24"/>
          <w:szCs w:val="24"/>
          <w:u w:color="000000"/>
          <w:rtl w:val="0"/>
        </w:rPr>
        <w:t> </w:t>
      </w:r>
      <w:r>
        <w:rPr>
          <w:rFonts w:ascii="Cambria" w:cs="Cambria" w:hAnsi="Cambria" w:eastAsia="Cambria"/>
          <w:sz w:val="24"/>
          <w:szCs w:val="24"/>
          <w:u w:color="000000"/>
          <w:rtl w:val="0"/>
          <w:lang w:val="en-US"/>
        </w:rPr>
        <w:t>Patients with early stage AMD usually show normal visual acuity even though structural and functional abnormalities are already developing. Early detection of AMD provides the best opportunity for treatments that might lesson central vision loss, especially as the disease can progress quickly in some patients.</w:t>
      </w:r>
    </w:p>
    <w:p>
      <w:pPr>
        <w:pStyle w:val="Body"/>
        <w:bidi w:val="0"/>
        <w:ind w:left="0" w:right="0" w:firstLine="0"/>
        <w:jc w:val="left"/>
        <w:rPr>
          <w:rFonts w:ascii="Cambria" w:cs="Cambria" w:hAnsi="Cambria" w:eastAsia="Cambria"/>
          <w:sz w:val="24"/>
          <w:szCs w:val="24"/>
          <w:u w:color="000000"/>
          <w:rtl w:val="0"/>
        </w:rPr>
      </w:pPr>
    </w:p>
    <w:p>
      <w:pPr>
        <w:pStyle w:val="Body"/>
        <w:widowControl w:val="0"/>
        <w:bidi w:val="0"/>
        <w:spacing w:after="240" w:line="300" w:lineRule="atLeast"/>
        <w:ind w:left="0" w:right="0" w:firstLine="0"/>
        <w:jc w:val="left"/>
        <w:rPr>
          <w:rFonts w:ascii="Cambria" w:cs="Cambria" w:hAnsi="Cambria" w:eastAsia="Cambria"/>
          <w:color w:val="000000"/>
          <w:sz w:val="24"/>
          <w:szCs w:val="24"/>
          <w:u w:color="000000"/>
          <w:rtl w:val="0"/>
        </w:rPr>
      </w:pPr>
      <w:r>
        <w:rPr>
          <w:rFonts w:ascii="Cambria" w:cs="Cambria" w:hAnsi="Cambria" w:eastAsia="Cambria"/>
          <w:color w:val="000000"/>
          <w:sz w:val="24"/>
          <w:szCs w:val="24"/>
          <w:u w:color="000000"/>
          <w:rtl w:val="0"/>
          <w:lang w:val="en-US"/>
        </w:rPr>
        <w:t>The stages of AMD can be functionally and structurally evaluated using multifocal electroretinogram</w:t>
      </w:r>
      <w:r>
        <w:rPr>
          <w:rFonts w:ascii="Times" w:cs="Cambria" w:hAnsi="Times" w:eastAsia="Cambria"/>
          <w:color w:val="000000"/>
          <w:sz w:val="26"/>
          <w:szCs w:val="26"/>
          <w:u w:color="000000"/>
          <w:rtl w:val="0"/>
          <w:lang w:val="en-US"/>
        </w:rPr>
        <w:t xml:space="preserve"> (mfERG), subfield dark adaptometry (DA) and optical coherence tomography (OCT). </w:t>
      </w:r>
      <w:r>
        <w:rPr>
          <w:rFonts w:ascii="Cambria" w:cs="Cambria" w:hAnsi="Cambria" w:eastAsia="Cambria"/>
          <w:color w:val="000000"/>
          <w:sz w:val="24"/>
          <w:szCs w:val="24"/>
          <w:u w:color="000000"/>
          <w:rtl w:val="0"/>
          <w:lang w:val="en-US"/>
        </w:rPr>
        <w:t xml:space="preserve">ISCEV guidelines list multifocal ERG (mfERG) as an objective test capable of detecting early stage AMD as well as tracking its progression. Studies indicate mfERG is a very good test for detecting functional changes prior to any measurable changes in structure or visual acuity. </w:t>
      </w:r>
    </w:p>
    <w:p>
      <w:pPr>
        <w:pStyle w:val="Body"/>
        <w:widowControl w:val="0"/>
        <w:bidi w:val="0"/>
        <w:spacing w:after="240" w:line="300" w:lineRule="atLeast"/>
        <w:ind w:left="0" w:right="0" w:firstLine="0"/>
        <w:jc w:val="left"/>
        <w:rPr>
          <w:rFonts w:ascii="Cambria" w:cs="Cambria" w:hAnsi="Cambria" w:eastAsia="Cambria"/>
          <w:color w:val="000000"/>
          <w:sz w:val="24"/>
          <w:szCs w:val="24"/>
          <w:u w:color="000000"/>
          <w:rtl w:val="0"/>
        </w:rPr>
      </w:pPr>
      <w:r>
        <w:rPr>
          <w:rFonts w:ascii="Cambria" w:cs="Cambria" w:hAnsi="Cambria" w:eastAsia="Cambria"/>
          <w:color w:val="000000"/>
          <w:sz w:val="24"/>
          <w:szCs w:val="24"/>
          <w:u w:color="000000"/>
          <w:rtl w:val="0"/>
          <w:lang w:val="en-US"/>
        </w:rPr>
        <w:t>Subfield dark adaptometry (DA) is a psychophysical test that can assist in determining diminished functionality within a patient</w:t>
      </w:r>
      <w:r>
        <w:rPr>
          <w:rFonts w:ascii="Cambria" w:cs="Cambria" w:hAnsi="Cambria" w:eastAsia="Cambria"/>
          <w:color w:val="000000"/>
          <w:sz w:val="24"/>
          <w:szCs w:val="24"/>
          <w:u w:color="000000"/>
          <w:rtl w:val="0"/>
        </w:rPr>
        <w:t>’</w:t>
      </w:r>
      <w:r>
        <w:rPr>
          <w:rFonts w:ascii="Cambria" w:cs="Cambria" w:hAnsi="Cambria" w:eastAsia="Cambria"/>
          <w:color w:val="000000"/>
          <w:sz w:val="24"/>
          <w:szCs w:val="24"/>
          <w:u w:color="000000"/>
          <w:rtl w:val="0"/>
          <w:lang w:val="en-US"/>
        </w:rPr>
        <w:t>s central vision. Research has shown that the slowing of dark adaptation is not only a useful indicator of the likelihood of macular degeneration, but is also a means of assessing the efficacy of any treatments for the disease.</w:t>
      </w:r>
    </w:p>
    <w:p>
      <w:pPr>
        <w:pStyle w:val="Body"/>
        <w:widowControl w:val="0"/>
        <w:bidi w:val="0"/>
        <w:spacing w:after="240" w:line="300" w:lineRule="atLeast"/>
        <w:ind w:left="0" w:right="0" w:firstLine="0"/>
        <w:jc w:val="left"/>
        <w:rPr>
          <w:rFonts w:ascii="Cambria" w:cs="Cambria" w:hAnsi="Cambria" w:eastAsia="Cambria"/>
          <w:color w:val="000000"/>
          <w:sz w:val="24"/>
          <w:szCs w:val="24"/>
          <w:u w:color="000000"/>
          <w:rtl w:val="0"/>
        </w:rPr>
      </w:pPr>
      <w:r>
        <w:rPr>
          <w:rFonts w:ascii="Cambria" w:cs="Cambria" w:hAnsi="Cambria" w:eastAsia="Cambria"/>
          <w:color w:val="000000"/>
          <w:sz w:val="24"/>
          <w:szCs w:val="24"/>
          <w:u w:color="000000"/>
          <w:rtl w:val="0"/>
          <w:lang w:val="en-US"/>
        </w:rPr>
        <w:t>While there is no cure for AMD, treatments are available that may slow the disease</w:t>
      </w:r>
      <w:r>
        <w:rPr>
          <w:rFonts w:ascii="Cambria" w:cs="Cambria" w:hAnsi="Cambria" w:eastAsia="Cambria"/>
          <w:color w:val="000000"/>
          <w:sz w:val="24"/>
          <w:szCs w:val="24"/>
          <w:u w:color="000000"/>
          <w:rtl w:val="0"/>
        </w:rPr>
        <w:t>’</w:t>
      </w:r>
      <w:r>
        <w:rPr>
          <w:rFonts w:ascii="Cambria" w:cs="Cambria" w:hAnsi="Cambria" w:eastAsia="Cambria"/>
          <w:color w:val="000000"/>
          <w:sz w:val="24"/>
          <w:szCs w:val="24"/>
          <w:u w:color="000000"/>
          <w:rtl w:val="0"/>
          <w:lang w:val="en-US"/>
        </w:rPr>
        <w:t>s progression and minimize the severity of vision loss. For the small subset of patient</w:t>
      </w:r>
      <w:r>
        <w:rPr>
          <w:rFonts w:ascii="Cambria" w:cs="Cambria" w:hAnsi="Cambria" w:eastAsia="Cambria"/>
          <w:color w:val="000000"/>
          <w:sz w:val="24"/>
          <w:szCs w:val="24"/>
          <w:u w:color="000000"/>
          <w:rtl w:val="0"/>
        </w:rPr>
        <w:t>’</w:t>
      </w:r>
      <w:r>
        <w:rPr>
          <w:rFonts w:ascii="Cambria" w:cs="Cambria" w:hAnsi="Cambria" w:eastAsia="Cambria"/>
          <w:color w:val="000000"/>
          <w:sz w:val="24"/>
          <w:szCs w:val="24"/>
          <w:u w:color="000000"/>
          <w:rtl w:val="0"/>
          <w:lang w:val="en-US"/>
        </w:rPr>
        <w:t>s with Wet AMD, there are injections that may restore some vision lost due to this condition.</w:t>
      </w:r>
    </w:p>
    <w:p>
      <w:pPr>
        <w:pStyle w:val="Body"/>
        <w:widowControl w:val="0"/>
        <w:bidi w:val="0"/>
        <w:spacing w:after="240" w:line="260" w:lineRule="atLeast"/>
        <w:ind w:left="0" w:right="0" w:firstLine="0"/>
        <w:jc w:val="left"/>
        <w:rPr>
          <w:rFonts w:ascii="Cambria" w:cs="Cambria" w:hAnsi="Cambria" w:eastAsia="Cambria"/>
          <w:color w:val="000000"/>
          <w:sz w:val="24"/>
          <w:szCs w:val="24"/>
          <w:u w:color="000000"/>
          <w:rtl w:val="0"/>
        </w:rPr>
      </w:pPr>
    </w:p>
    <w:p>
      <w:pPr>
        <w:pStyle w:val="Body"/>
        <w:widowControl w:val="0"/>
        <w:bidi w:val="0"/>
        <w:spacing w:after="240" w:line="260" w:lineRule="atLeast"/>
        <w:ind w:left="0" w:right="0" w:firstLine="0"/>
        <w:jc w:val="left"/>
        <w:rPr>
          <w:rFonts w:ascii="Cambria" w:cs="Cambria" w:hAnsi="Cambria" w:eastAsia="Cambria"/>
          <w:color w:val="000000"/>
          <w:sz w:val="18"/>
          <w:szCs w:val="18"/>
          <w:u w:color="000000"/>
          <w:rtl w:val="0"/>
        </w:rPr>
      </w:pPr>
      <w:r>
        <w:rPr>
          <w:rFonts w:ascii="Cambria" w:cs="Cambria" w:hAnsi="Cambria" w:eastAsia="Cambria"/>
          <w:color w:val="000000"/>
          <w:sz w:val="18"/>
          <w:szCs w:val="18"/>
          <w:u w:color="000000"/>
          <w:rtl w:val="0"/>
          <w:lang w:val="en-US"/>
        </w:rPr>
        <w:t xml:space="preserve">Gerth C, Delahunt PB, Alam S, et al. Cone-Mediated Multifocal Electroretinogram in Age-Related Macular Degeneration: Progression Over a Long-term Follow-up. </w:t>
      </w:r>
      <w:r>
        <w:rPr>
          <w:rFonts w:ascii="Cambria" w:cs="Cambria" w:hAnsi="Cambria" w:eastAsia="Cambria"/>
          <w:i w:val="1"/>
          <w:iCs w:val="1"/>
          <w:color w:val="000000"/>
          <w:sz w:val="18"/>
          <w:szCs w:val="18"/>
          <w:u w:color="000000"/>
          <w:rtl w:val="0"/>
          <w:lang w:val="en-US"/>
        </w:rPr>
        <w:t>Arch Ophthalmol</w:t>
      </w:r>
      <w:r>
        <w:rPr>
          <w:rFonts w:ascii="Cambria" w:cs="Cambria" w:hAnsi="Cambria" w:eastAsia="Cambria"/>
          <w:color w:val="000000"/>
          <w:sz w:val="18"/>
          <w:szCs w:val="18"/>
          <w:u w:color="000000"/>
          <w:rtl w:val="0"/>
        </w:rPr>
        <w:t>. 2006 March;124(3): 345</w:t>
      </w:r>
      <w:r>
        <w:rPr>
          <w:rFonts w:ascii="Cambria" w:cs="Cambria" w:hAnsi="Cambria" w:eastAsia="Cambria"/>
          <w:color w:val="000000"/>
          <w:sz w:val="18"/>
          <w:szCs w:val="18"/>
          <w:u w:color="000000"/>
          <w:rtl w:val="0"/>
        </w:rPr>
        <w:t>–</w:t>
      </w:r>
      <w:r>
        <w:rPr>
          <w:rFonts w:ascii="Cambria" w:cs="Cambria" w:hAnsi="Cambria" w:eastAsia="Cambria"/>
          <w:color w:val="000000"/>
          <w:sz w:val="18"/>
          <w:szCs w:val="18"/>
          <w:u w:color="000000"/>
          <w:rtl w:val="0"/>
        </w:rPr>
        <w:t xml:space="preserve">352. </w:t>
      </w:r>
    </w:p>
    <w:p>
      <w:pPr>
        <w:pStyle w:val="Body"/>
        <w:widowControl w:val="0"/>
        <w:bidi w:val="0"/>
        <w:spacing w:after="240" w:line="260" w:lineRule="atLeast"/>
        <w:ind w:left="0" w:right="0" w:firstLine="0"/>
        <w:jc w:val="left"/>
        <w:rPr>
          <w:rFonts w:ascii="Cambria" w:cs="Cambria" w:hAnsi="Cambria" w:eastAsia="Cambria"/>
          <w:color w:val="000000"/>
          <w:sz w:val="18"/>
          <w:szCs w:val="18"/>
          <w:u w:color="000000"/>
          <w:rtl w:val="0"/>
        </w:rPr>
      </w:pPr>
      <w:r>
        <w:rPr>
          <w:rFonts w:ascii="Cambria" w:cs="Cambria" w:hAnsi="Cambria" w:eastAsia="Cambria"/>
          <w:color w:val="000000"/>
          <w:sz w:val="18"/>
          <w:szCs w:val="18"/>
          <w:u w:color="000000"/>
          <w:rtl w:val="0"/>
          <w:lang w:val="en-US"/>
        </w:rPr>
        <w:t>Gin TJ, Luu CD, Guymer RH. Central Retinal Function as Measured by the Multifocal Electroretinogram and Flicker Perimetry in Early Age-Related Macular Degeneration.</w:t>
      </w:r>
      <w:r>
        <w:rPr>
          <w:rFonts w:ascii="Garamond" w:cs="Cambria" w:hAnsi="Garamond" w:eastAsia="Cambria"/>
          <w:color w:val="000000"/>
          <w:sz w:val="18"/>
          <w:szCs w:val="18"/>
          <w:u w:color="000000"/>
          <w:rtl w:val="0"/>
        </w:rPr>
        <w:t xml:space="preserve"> </w:t>
      </w:r>
      <w:r>
        <w:rPr>
          <w:rFonts w:ascii="Cambria" w:cs="Cambria" w:hAnsi="Cambria" w:eastAsia="Cambria"/>
          <w:i w:val="1"/>
          <w:iCs w:val="1"/>
          <w:color w:val="000000"/>
          <w:sz w:val="18"/>
          <w:szCs w:val="18"/>
          <w:u w:color="000000"/>
          <w:rtl w:val="0"/>
          <w:lang w:val="en-US"/>
        </w:rPr>
        <w:t>Invest Ophthalmol Vis Sci</w:t>
      </w:r>
      <w:r>
        <w:rPr>
          <w:rFonts w:ascii="Cambria" w:cs="Cambria" w:hAnsi="Cambria" w:eastAsia="Cambria"/>
          <w:color w:val="000000"/>
          <w:sz w:val="18"/>
          <w:szCs w:val="18"/>
          <w:u w:color="000000"/>
          <w:rtl w:val="0"/>
        </w:rPr>
        <w:t>, November 2011, Vol. 52, No. 12.</w:t>
      </w:r>
    </w:p>
    <w:p>
      <w:pPr>
        <w:pStyle w:val="Body"/>
        <w:widowControl w:val="0"/>
        <w:bidi w:val="0"/>
        <w:spacing w:after="240" w:line="240" w:lineRule="atLeast"/>
        <w:ind w:left="0" w:right="0" w:firstLine="0"/>
        <w:jc w:val="left"/>
        <w:rPr>
          <w:rFonts w:ascii="Cambria" w:cs="Cambria" w:hAnsi="Cambria" w:eastAsia="Cambria"/>
          <w:color w:val="000000"/>
          <w:sz w:val="18"/>
          <w:szCs w:val="18"/>
          <w:u w:color="000000"/>
          <w:rtl w:val="0"/>
        </w:rPr>
      </w:pPr>
      <w:r>
        <w:rPr>
          <w:rFonts w:ascii="Cambria" w:cs="Cambria" w:hAnsi="Cambria" w:eastAsia="Cambria"/>
          <w:color w:val="000000"/>
          <w:sz w:val="18"/>
          <w:szCs w:val="18"/>
          <w:u w:color="000000"/>
          <w:rtl w:val="0"/>
          <w:lang w:val="es-ES_tradnl"/>
        </w:rPr>
        <w:t>Gonzalez-Garc</w:t>
      </w:r>
      <w:r>
        <w:rPr>
          <w:rFonts w:ascii="Cambria" w:cs="Cambria" w:hAnsi="Cambria" w:eastAsia="Cambria"/>
          <w:color w:val="000000"/>
          <w:sz w:val="18"/>
          <w:szCs w:val="18"/>
          <w:u w:color="000000"/>
          <w:rtl w:val="0"/>
        </w:rPr>
        <w:t>ı</w:t>
      </w:r>
      <w:r>
        <w:rPr>
          <w:rFonts w:ascii="Cambria" w:cs="Cambria" w:hAnsi="Cambria" w:eastAsia="Cambria"/>
          <w:color w:val="000000"/>
          <w:sz w:val="18"/>
          <w:szCs w:val="18"/>
          <w:u w:color="000000"/>
          <w:rtl w:val="0"/>
          <w:lang w:val="en-US"/>
        </w:rPr>
        <w:t>a E, Vilela C, Navea A, et al. Electrophysiological and Clinical Tests in Dry Age-Related Macular Degeneration Follow-up: Differences</w:t>
      </w:r>
      <w:r>
        <w:rPr>
          <w:rFonts w:ascii="Cambria" w:cs="Cambria" w:hAnsi="Cambria" w:eastAsia="Cambria"/>
          <w:color w:val="000000"/>
          <w:sz w:val="18"/>
          <w:szCs w:val="18"/>
          <w:u w:color="000000"/>
          <w:rtl w:val="0"/>
        </w:rPr>
        <w:br w:type="textWrapping"/>
      </w:r>
      <w:r>
        <w:rPr>
          <w:rFonts w:ascii="Cambria" w:cs="Cambria" w:hAnsi="Cambria" w:eastAsia="Cambria"/>
          <w:color w:val="000000"/>
          <w:sz w:val="18"/>
          <w:szCs w:val="18"/>
          <w:u w:color="000000"/>
          <w:rtl w:val="0"/>
          <w:lang w:val="en-US"/>
        </w:rPr>
        <w:t xml:space="preserve">Between mfERG and OC. </w:t>
      </w:r>
      <w:r>
        <w:rPr>
          <w:rFonts w:ascii="Cambria" w:cs="Cambria" w:hAnsi="Cambria" w:eastAsia="Cambria"/>
          <w:i w:val="1"/>
          <w:iCs w:val="1"/>
          <w:color w:val="000000"/>
          <w:sz w:val="18"/>
          <w:szCs w:val="18"/>
          <w:u w:color="000000"/>
          <w:rtl w:val="0"/>
          <w:lang w:val="en-US"/>
        </w:rPr>
        <w:t>Doc Ophthalmol</w:t>
      </w:r>
      <w:r>
        <w:rPr>
          <w:rFonts w:ascii="Cambria" w:cs="Cambria" w:hAnsi="Cambria" w:eastAsia="Cambria"/>
          <w:color w:val="000000"/>
          <w:sz w:val="18"/>
          <w:szCs w:val="18"/>
          <w:u w:color="000000"/>
          <w:rtl w:val="0"/>
        </w:rPr>
        <w:br w:type="textWrapping"/>
      </w:r>
    </w:p>
    <w:p>
      <w:pPr>
        <w:pStyle w:val="Body"/>
        <w:widowControl w:val="0"/>
        <w:bidi w:val="0"/>
        <w:spacing w:after="240" w:line="260" w:lineRule="atLeast"/>
        <w:ind w:left="0" w:right="0" w:firstLine="0"/>
        <w:jc w:val="left"/>
        <w:rPr>
          <w:rFonts w:ascii="Cambria" w:cs="Cambria" w:hAnsi="Cambria" w:eastAsia="Cambria"/>
          <w:color w:val="000000"/>
          <w:sz w:val="18"/>
          <w:szCs w:val="18"/>
          <w:u w:color="000000"/>
          <w:rtl w:val="0"/>
        </w:rPr>
      </w:pPr>
      <w:r>
        <w:rPr>
          <w:rFonts w:ascii="Cambria" w:cs="Cambria" w:hAnsi="Cambria" w:eastAsia="Cambria"/>
          <w:color w:val="000000"/>
          <w:sz w:val="18"/>
          <w:szCs w:val="18"/>
          <w:u w:color="000000"/>
          <w:rtl w:val="0"/>
          <w:lang w:val="en-US"/>
        </w:rPr>
        <w:t>Karanjia R, Eng KT, Gale J, et al. Electrophysiological Effects of Intravitreal Avastin (bevacizumab) in the Treatment of Exudative Age-Related Macular Degeneration.</w:t>
      </w:r>
      <w:r>
        <w:rPr>
          <w:rFonts w:ascii="Times" w:cs="Cambria" w:hAnsi="Times" w:eastAsia="Cambria"/>
          <w:color w:val="000000"/>
          <w:sz w:val="21"/>
          <w:szCs w:val="21"/>
          <w:u w:color="000000"/>
          <w:rtl w:val="0"/>
        </w:rPr>
        <w:t xml:space="preserve"> </w:t>
      </w:r>
      <w:r>
        <w:rPr>
          <w:rFonts w:ascii="Cambria" w:cs="Cambria" w:hAnsi="Cambria" w:eastAsia="Cambria"/>
          <w:i w:val="1"/>
          <w:iCs w:val="1"/>
          <w:color w:val="000000"/>
          <w:sz w:val="18"/>
          <w:szCs w:val="18"/>
          <w:u w:color="000000"/>
          <w:rtl w:val="0"/>
          <w:lang w:val="en-US"/>
        </w:rPr>
        <w:t>Br J Ophthalmol</w:t>
      </w:r>
      <w:r>
        <w:rPr>
          <w:rFonts w:ascii="Cambria" w:cs="Cambria" w:hAnsi="Cambria" w:eastAsia="Cambria"/>
          <w:color w:val="000000"/>
          <w:sz w:val="18"/>
          <w:szCs w:val="18"/>
          <w:u w:color="000000"/>
          <w:rtl w:val="0"/>
        </w:rPr>
        <w:t xml:space="preserve"> 2008;92:1248</w:t>
      </w:r>
      <w:r>
        <w:rPr>
          <w:rFonts w:ascii="Cambria" w:cs="Cambria" w:hAnsi="Cambria" w:eastAsia="Cambria"/>
          <w:color w:val="000000"/>
          <w:sz w:val="18"/>
          <w:szCs w:val="18"/>
          <w:u w:color="000000"/>
          <w:rtl w:val="0"/>
        </w:rPr>
        <w:t>–</w:t>
      </w:r>
      <w:r>
        <w:rPr>
          <w:rFonts w:ascii="Cambria" w:cs="Cambria" w:hAnsi="Cambria" w:eastAsia="Cambria"/>
          <w:color w:val="000000"/>
          <w:sz w:val="18"/>
          <w:szCs w:val="18"/>
          <w:u w:color="000000"/>
          <w:rtl w:val="0"/>
        </w:rPr>
        <w:t xml:space="preserve">1252. </w:t>
      </w:r>
    </w:p>
    <w:p>
      <w:pPr>
        <w:pStyle w:val="Body"/>
        <w:widowControl w:val="0"/>
        <w:bidi w:val="0"/>
        <w:spacing w:after="240" w:line="240" w:lineRule="atLeast"/>
        <w:ind w:left="0" w:right="0" w:firstLine="0"/>
        <w:jc w:val="left"/>
        <w:rPr>
          <w:rFonts w:ascii="Cambria" w:cs="Cambria" w:hAnsi="Cambria" w:eastAsia="Cambria"/>
          <w:color w:val="000000"/>
          <w:sz w:val="18"/>
          <w:szCs w:val="18"/>
          <w:u w:color="000000"/>
          <w:rtl w:val="0"/>
        </w:rPr>
      </w:pPr>
      <w:r>
        <w:rPr>
          <w:rFonts w:ascii="Cambria" w:cs="Cambria" w:hAnsi="Cambria" w:eastAsia="Cambria"/>
          <w:color w:val="000000"/>
          <w:sz w:val="18"/>
          <w:szCs w:val="18"/>
          <w:u w:color="000000"/>
          <w:rtl w:val="0"/>
          <w:lang w:val="en-US"/>
        </w:rPr>
        <w:t xml:space="preserve">Lamb TD, Pugh Jr EN. Phototransduction, Dark Adaptation, and Rhodopsin Regeneration-The Proctor Lecture. </w:t>
      </w:r>
      <w:r>
        <w:rPr>
          <w:rFonts w:ascii="Cambria" w:cs="Cambria" w:hAnsi="Cambria" w:eastAsia="Cambria"/>
          <w:i w:val="1"/>
          <w:iCs w:val="1"/>
          <w:color w:val="000000"/>
          <w:sz w:val="18"/>
          <w:szCs w:val="18"/>
          <w:u w:color="000000"/>
          <w:rtl w:val="0"/>
          <w:lang w:val="en-US"/>
        </w:rPr>
        <w:t xml:space="preserve">Invest Ophthalmol Vis Sci. </w:t>
      </w:r>
      <w:r>
        <w:rPr>
          <w:rFonts w:ascii="Cambria" w:cs="Cambria" w:hAnsi="Cambria" w:eastAsia="Cambria"/>
          <w:color w:val="000000"/>
          <w:sz w:val="18"/>
          <w:szCs w:val="18"/>
          <w:u w:color="000000"/>
          <w:rtl w:val="0"/>
        </w:rPr>
        <w:t xml:space="preserve">2006;47(12):5138-5151. </w:t>
      </w:r>
    </w:p>
    <w:p>
      <w:pPr>
        <w:pStyle w:val="Body"/>
        <w:widowControl w:val="0"/>
        <w:bidi w:val="0"/>
        <w:spacing w:after="240" w:line="260" w:lineRule="atLeast"/>
        <w:ind w:left="0" w:right="0" w:firstLine="0"/>
        <w:jc w:val="left"/>
        <w:rPr>
          <w:rFonts w:ascii="Cambria" w:cs="Cambria" w:hAnsi="Cambria" w:eastAsia="Cambria"/>
          <w:color w:val="000000"/>
          <w:sz w:val="18"/>
          <w:szCs w:val="18"/>
          <w:u w:color="000000"/>
          <w:rtl w:val="0"/>
        </w:rPr>
      </w:pPr>
      <w:r>
        <w:rPr>
          <w:rFonts w:ascii="Cambria" w:cs="Cambria" w:hAnsi="Cambria" w:eastAsia="Cambria"/>
          <w:color w:val="000000"/>
          <w:sz w:val="18"/>
          <w:szCs w:val="18"/>
          <w:u w:color="000000"/>
          <w:rtl w:val="0"/>
          <w:lang w:val="en-US"/>
        </w:rPr>
        <w:t xml:space="preserve">Leibrock CS, Reuter T, Lamb TD. Molecular Basis of Dark Adaptation in Rod Photoreceptors. </w:t>
      </w:r>
      <w:r>
        <w:rPr>
          <w:rFonts w:ascii="Cambria" w:cs="Cambria" w:hAnsi="Cambria" w:eastAsia="Cambria"/>
          <w:i w:val="1"/>
          <w:iCs w:val="1"/>
          <w:color w:val="000000"/>
          <w:sz w:val="18"/>
          <w:szCs w:val="18"/>
          <w:u w:color="000000"/>
          <w:rtl w:val="0"/>
        </w:rPr>
        <w:t>Eye</w:t>
      </w:r>
      <w:r>
        <w:rPr>
          <w:rFonts w:ascii="Cambria" w:cs="Cambria" w:hAnsi="Cambria" w:eastAsia="Cambria"/>
          <w:color w:val="000000"/>
          <w:sz w:val="18"/>
          <w:szCs w:val="18"/>
          <w:u w:color="000000"/>
          <w:rtl w:val="0"/>
        </w:rPr>
        <w:t xml:space="preserve"> (1998)12;511-520.</w:t>
      </w:r>
    </w:p>
    <w:p>
      <w:pPr>
        <w:pStyle w:val="Body"/>
        <w:widowControl w:val="0"/>
        <w:bidi w:val="0"/>
        <w:spacing w:after="240" w:line="260" w:lineRule="atLeast"/>
        <w:ind w:left="0" w:right="0" w:firstLine="0"/>
        <w:jc w:val="left"/>
        <w:rPr>
          <w:rFonts w:ascii="Cambria" w:cs="Cambria" w:hAnsi="Cambria" w:eastAsia="Cambria"/>
          <w:color w:val="000000"/>
          <w:sz w:val="18"/>
          <w:szCs w:val="18"/>
          <w:u w:color="000000"/>
          <w:rtl w:val="0"/>
        </w:rPr>
      </w:pPr>
      <w:r>
        <w:rPr>
          <w:rFonts w:ascii="Cambria" w:cs="Cambria" w:hAnsi="Cambria" w:eastAsia="Cambria"/>
          <w:color w:val="000000"/>
          <w:sz w:val="18"/>
          <w:szCs w:val="18"/>
          <w:u w:color="000000"/>
          <w:rtl w:val="0"/>
          <w:lang w:val="en-US"/>
        </w:rPr>
        <w:t xml:space="preserve">Parravano M, Tedeschi M, Manca D, et al. Effects of Macuprev Supplementation in Age-Related Macular Degeneration: A Double-Blind Randomized Morpho-Functional Study Along 6 Months of Follow- Up. </w:t>
      </w:r>
      <w:r>
        <w:rPr>
          <w:rFonts w:ascii="Cambria" w:cs="Cambria" w:hAnsi="Cambria" w:eastAsia="Cambria"/>
          <w:i w:val="1"/>
          <w:iCs w:val="1"/>
          <w:color w:val="000000"/>
          <w:sz w:val="18"/>
          <w:szCs w:val="18"/>
          <w:u w:color="000000"/>
          <w:rtl w:val="0"/>
          <w:lang w:val="en-US"/>
        </w:rPr>
        <w:t>Adv Ther</w:t>
      </w:r>
      <w:r>
        <w:rPr>
          <w:rFonts w:ascii="Cambria" w:cs="Cambria" w:hAnsi="Cambria" w:eastAsia="Cambria"/>
          <w:color w:val="000000"/>
          <w:sz w:val="18"/>
          <w:szCs w:val="18"/>
          <w:u w:color="000000"/>
          <w:rtl w:val="0"/>
        </w:rPr>
        <w:t xml:space="preserve"> (2019) 36:2493</w:t>
      </w:r>
      <w:r>
        <w:rPr>
          <w:rFonts w:ascii="Cambria" w:cs="Cambria" w:hAnsi="Cambria" w:eastAsia="Cambria"/>
          <w:color w:val="000000"/>
          <w:sz w:val="18"/>
          <w:szCs w:val="18"/>
          <w:u w:color="000000"/>
          <w:rtl w:val="0"/>
        </w:rPr>
        <w:t>–</w:t>
      </w:r>
      <w:r>
        <w:rPr>
          <w:rFonts w:ascii="Cambria" w:cs="Cambria" w:hAnsi="Cambria" w:eastAsia="Cambria"/>
          <w:color w:val="000000"/>
          <w:sz w:val="18"/>
          <w:szCs w:val="18"/>
          <w:u w:color="000000"/>
          <w:rtl w:val="0"/>
        </w:rPr>
        <w:t xml:space="preserve">2505. </w:t>
      </w:r>
    </w:p>
    <w:p>
      <w:pPr>
        <w:pStyle w:val="Body"/>
        <w:bidi w:val="0"/>
        <w:ind w:left="0" w:right="0" w:firstLine="0"/>
        <w:jc w:val="left"/>
        <w:rPr>
          <w:rFonts w:ascii="Cambria" w:cs="Cambria" w:hAnsi="Cambria" w:eastAsia="Cambria"/>
          <w:sz w:val="18"/>
          <w:szCs w:val="18"/>
          <w:u w:color="000000"/>
          <w:rtl w:val="0"/>
        </w:rPr>
      </w:pPr>
      <w:r>
        <w:rPr>
          <w:rFonts w:ascii="Cambria" w:cs="Cambria" w:hAnsi="Cambria" w:eastAsia="Cambria"/>
          <w:sz w:val="18"/>
          <w:szCs w:val="18"/>
          <w:u w:color="000000"/>
          <w:rtl w:val="0"/>
        </w:rPr>
        <w:t>Robson AG, Nilsson J, Li S, et al. ISCEV Guide to Visual Electrodiagnostic Procedures. Springer 2018;136:1-26.</w:t>
      </w:r>
    </w:p>
    <w:p>
      <w:pPr>
        <w:pStyle w:val="Body"/>
        <w:widowControl w:val="0"/>
        <w:bidi w:val="0"/>
        <w:spacing w:after="240" w:line="260" w:lineRule="atLeast"/>
        <w:ind w:left="0" w:right="0" w:firstLine="0"/>
        <w:jc w:val="left"/>
        <w:rPr>
          <w:rFonts w:ascii="Cambria" w:cs="Cambria" w:hAnsi="Cambria" w:eastAsia="Cambria"/>
          <w:color w:val="000000"/>
          <w:sz w:val="18"/>
          <w:szCs w:val="18"/>
          <w:u w:color="000000"/>
          <w:rtl w:val="0"/>
        </w:rPr>
      </w:pPr>
    </w:p>
    <w:p>
      <w:pPr>
        <w:pStyle w:val="Body"/>
        <w:widowControl w:val="0"/>
        <w:bidi w:val="0"/>
        <w:spacing w:after="240" w:line="260" w:lineRule="atLeast"/>
        <w:ind w:left="0" w:right="0" w:firstLine="0"/>
        <w:jc w:val="left"/>
        <w:rPr>
          <w:rFonts w:ascii="Cambria" w:cs="Cambria" w:hAnsi="Cambria" w:eastAsia="Cambria"/>
          <w:color w:val="000000"/>
          <w:sz w:val="18"/>
          <w:szCs w:val="18"/>
          <w:u w:color="000000"/>
          <w:rtl w:val="0"/>
        </w:rPr>
      </w:pPr>
      <w:r>
        <w:rPr>
          <w:rFonts w:ascii="Cambria" w:cs="Cambria" w:hAnsi="Cambria" w:eastAsia="Cambria"/>
          <w:color w:val="000000"/>
          <w:sz w:val="18"/>
          <w:szCs w:val="18"/>
          <w:u w:color="000000"/>
          <w:rtl w:val="0"/>
          <w:lang w:val="en-US"/>
        </w:rPr>
        <w:t>Ruseckaite R, Lamb TD, Pianta MJ, Cameron AM. Human Scotopic Dark Adaptation: Comparison of Recoveries of Psychophysical Threshold and ERG b-wave Sensitivity.</w:t>
      </w:r>
      <w:r>
        <w:rPr>
          <w:rFonts w:ascii="Times" w:cs="Cambria" w:hAnsi="Times" w:eastAsia="Cambria"/>
          <w:color w:val="000000"/>
          <w:sz w:val="24"/>
          <w:szCs w:val="24"/>
          <w:u w:color="000000"/>
          <w:rtl w:val="0"/>
        </w:rPr>
        <w:t xml:space="preserve"> </w:t>
      </w:r>
      <w:r>
        <w:rPr>
          <w:rFonts w:ascii="Cambria" w:cs="Cambria" w:hAnsi="Cambria" w:eastAsia="Cambria"/>
          <w:i w:val="1"/>
          <w:iCs w:val="1"/>
          <w:color w:val="000000"/>
          <w:sz w:val="18"/>
          <w:szCs w:val="18"/>
          <w:u w:color="000000"/>
          <w:rtl w:val="0"/>
          <w:lang w:val="en-US"/>
        </w:rPr>
        <w:t>Journal of Vision</w:t>
      </w:r>
      <w:r>
        <w:rPr>
          <w:rFonts w:ascii="Cambria" w:cs="Cambria" w:hAnsi="Cambria" w:eastAsia="Cambria"/>
          <w:color w:val="000000"/>
          <w:sz w:val="18"/>
          <w:szCs w:val="18"/>
          <w:u w:color="000000"/>
          <w:rtl w:val="0"/>
        </w:rPr>
        <w:t xml:space="preserve"> (2011) 11(8):2, 1</w:t>
      </w:r>
      <w:r>
        <w:rPr>
          <w:rFonts w:ascii="Cambria" w:cs="Cambria" w:hAnsi="Cambria" w:eastAsia="Cambria"/>
          <w:color w:val="000000"/>
          <w:sz w:val="18"/>
          <w:szCs w:val="18"/>
          <w:u w:color="000000"/>
          <w:rtl w:val="0"/>
        </w:rPr>
        <w:t>–</w:t>
      </w:r>
      <w:r>
        <w:rPr>
          <w:rFonts w:ascii="Cambria" w:cs="Cambria" w:hAnsi="Cambria" w:eastAsia="Cambria"/>
          <w:color w:val="000000"/>
          <w:sz w:val="18"/>
          <w:szCs w:val="18"/>
          <w:u w:color="000000"/>
          <w:rtl w:val="0"/>
        </w:rPr>
        <w:t>16.</w:t>
      </w:r>
    </w:p>
    <w:p>
      <w:pPr>
        <w:pStyle w:val="Body"/>
        <w:widowControl w:val="0"/>
        <w:bidi w:val="0"/>
        <w:spacing w:after="240" w:line="260" w:lineRule="atLeast"/>
        <w:ind w:left="0" w:right="0" w:firstLine="0"/>
        <w:jc w:val="left"/>
        <w:rPr>
          <w:rFonts w:ascii="Cambria" w:cs="Cambria" w:hAnsi="Cambria" w:eastAsia="Cambria"/>
          <w:color w:val="000000"/>
          <w:sz w:val="18"/>
          <w:szCs w:val="18"/>
          <w:u w:color="000000"/>
          <w:rtl w:val="0"/>
        </w:rPr>
      </w:pPr>
      <w:r>
        <w:rPr>
          <w:rFonts w:ascii="Cambria" w:cs="Cambria" w:hAnsi="Cambria" w:eastAsia="Cambria"/>
          <w:color w:val="000000"/>
          <w:sz w:val="18"/>
          <w:szCs w:val="18"/>
          <w:u w:color="000000"/>
          <w:rtl w:val="0"/>
          <w:lang w:val="en-US"/>
        </w:rPr>
        <w:t>Rushton WAH. Dark-Adaptation and the Regeneration of Rhodopsin.</w:t>
      </w:r>
      <w:r>
        <w:rPr>
          <w:rFonts w:ascii="Courier" w:cs="Cambria" w:hAnsi="Courier" w:eastAsia="Cambria"/>
          <w:color w:val="000000"/>
          <w:sz w:val="26"/>
          <w:szCs w:val="26"/>
          <w:u w:color="000000"/>
          <w:rtl w:val="0"/>
        </w:rPr>
        <w:t xml:space="preserve"> </w:t>
      </w:r>
      <w:r>
        <w:rPr>
          <w:rFonts w:ascii="Cambria" w:cs="Cambria" w:hAnsi="Cambria" w:eastAsia="Cambria"/>
          <w:i w:val="1"/>
          <w:iCs w:val="1"/>
          <w:color w:val="000000"/>
          <w:sz w:val="18"/>
          <w:szCs w:val="18"/>
          <w:u w:color="000000"/>
          <w:rtl w:val="0"/>
          <w:lang w:val="en-US"/>
        </w:rPr>
        <w:t>J. Physiol</w:t>
      </w:r>
      <w:r>
        <w:rPr>
          <w:rFonts w:ascii="Cambria" w:cs="Cambria" w:hAnsi="Cambria" w:eastAsia="Cambria"/>
          <w:color w:val="000000"/>
          <w:sz w:val="18"/>
          <w:szCs w:val="18"/>
          <w:u w:color="000000"/>
          <w:rtl w:val="0"/>
        </w:rPr>
        <w:t xml:space="preserve">. (1961), 156;166-178 </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mbria">
    <w:charset w:val="00"/>
    <w:family w:val="roman"/>
    <w:pitch w:val="default"/>
  </w:font>
  <w:font w:name="Georgia">
    <w:charset w:val="00"/>
    <w:family w:val="roman"/>
    <w:pitch w:val="default"/>
  </w:font>
  <w:font w:name="Times">
    <w:charset w:val="00"/>
    <w:family w:val="roman"/>
    <w:pitch w:val="default"/>
  </w:font>
  <w:font w:name="Garamond">
    <w:charset w:val="00"/>
    <w:family w:val="roman"/>
    <w:pitch w:val="default"/>
  </w:font>
  <w:font w:name="Courie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customXml" Target="../customXml/item1.xml"/><Relationship Id="rId2" Type="http://schemas.openxmlformats.org/officeDocument/2006/relationships/fontTable" Target="fontTable.xml"/><Relationship Id="rId1" Type="http://schemas.openxmlformats.org/officeDocument/2006/relationships/settings" Target="settings.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9" Type="http://schemas.openxmlformats.org/officeDocument/2006/relationships/customXml" Target="../customXml/item3.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3390D0860BA14DB2FF7B2AC994BEB8" ma:contentTypeVersion="4" ma:contentTypeDescription="Create a new document." ma:contentTypeScope="" ma:versionID="c4e06abbc38b703b416fe73bd19219e8">
  <xsd:schema xmlns:xsd="http://www.w3.org/2001/XMLSchema" xmlns:xs="http://www.w3.org/2001/XMLSchema" xmlns:p="http://schemas.microsoft.com/office/2006/metadata/properties" xmlns:ns2="60e6fc10-db10-4523-8a3e-f25ecc725aab" targetNamespace="http://schemas.microsoft.com/office/2006/metadata/properties" ma:root="true" ma:fieldsID="08777e2e2c34cc5d17137128c821525e" ns2:_="">
    <xsd:import namespace="60e6fc10-db10-4523-8a3e-f25ecc725aa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e6fc10-db10-4523-8a3e-f25ecc725a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C97B229-8A52-46E1-A037-76A9A43BBCDE}"/>
</file>

<file path=customXml/itemProps2.xml><?xml version="1.0" encoding="utf-8"?>
<ds:datastoreItem xmlns:ds="http://schemas.openxmlformats.org/officeDocument/2006/customXml" ds:itemID="{4EF28E5D-6C80-4909-9714-72B2DD170A27}"/>
</file>

<file path=customXml/itemProps3.xml><?xml version="1.0" encoding="utf-8"?>
<ds:datastoreItem xmlns:ds="http://schemas.openxmlformats.org/officeDocument/2006/customXml" ds:itemID="{C7C4246E-9AB8-443D-AAA6-B3B95D3AEEE6}"/>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0x0101009E3390D0860BA14DB2FF7B2AC994BEB8</vt:lpwstr>
  </property>
</Properties>
</file>